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95" w:rsidRDefault="00F87A95" w:rsidP="00F87A95">
      <w:pPr>
        <w:spacing w:after="0"/>
        <w:rPr>
          <w:b/>
        </w:rPr>
      </w:pPr>
      <w:r>
        <w:rPr>
          <w:b/>
        </w:rPr>
        <w:t>4 April 2018</w:t>
      </w:r>
    </w:p>
    <w:p w:rsidR="00F87A95" w:rsidRDefault="00F87A95" w:rsidP="00F87A95">
      <w:pPr>
        <w:spacing w:after="0"/>
        <w:jc w:val="center"/>
        <w:rPr>
          <w:b/>
        </w:rPr>
      </w:pPr>
    </w:p>
    <w:p w:rsidR="00F87A95" w:rsidRDefault="00F87A95" w:rsidP="00F87A95">
      <w:pPr>
        <w:spacing w:after="0"/>
        <w:jc w:val="center"/>
        <w:rPr>
          <w:b/>
        </w:rPr>
      </w:pPr>
      <w:r>
        <w:rPr>
          <w:b/>
        </w:rPr>
        <w:t>Diageo announces appointment to its Board of Directors</w:t>
      </w:r>
    </w:p>
    <w:p w:rsidR="00F87A95" w:rsidRDefault="00F87A95" w:rsidP="00F87A95">
      <w:pPr>
        <w:spacing w:after="0"/>
        <w:jc w:val="center"/>
        <w:rPr>
          <w:b/>
        </w:rPr>
      </w:pPr>
    </w:p>
    <w:p w:rsidR="00F87A95" w:rsidRDefault="00F87A95" w:rsidP="00F87A95">
      <w:pPr>
        <w:spacing w:after="0"/>
        <w:jc w:val="both"/>
      </w:pPr>
      <w:r>
        <w:t xml:space="preserve">Diageo announces the appointment of Susan </w:t>
      </w:r>
      <w:proofErr w:type="spellStart"/>
      <w:r>
        <w:t>Kilsby</w:t>
      </w:r>
      <w:proofErr w:type="spellEnd"/>
      <w:r>
        <w:t xml:space="preserve"> as a Non-Executive Director, effective immediately. Susan will join the Audit, Nom</w:t>
      </w:r>
      <w:bookmarkStart w:id="0" w:name="_GoBack"/>
      <w:bookmarkEnd w:id="0"/>
      <w:r>
        <w:t>ination and Remuneration Committees on appointment.</w:t>
      </w:r>
    </w:p>
    <w:p w:rsidR="00F87A95" w:rsidRDefault="00F87A95" w:rsidP="00F87A95">
      <w:pPr>
        <w:spacing w:after="0"/>
        <w:jc w:val="both"/>
      </w:pPr>
    </w:p>
    <w:p w:rsidR="00F87A95" w:rsidRDefault="00F87A95" w:rsidP="00F87A95">
      <w:pPr>
        <w:spacing w:after="0"/>
        <w:jc w:val="both"/>
      </w:pPr>
      <w:r>
        <w:t xml:space="preserve">Susan joined the Board of Shire, the leading global biotech company, in 2011 and has been Chairman since 2014.  She is also a Non-Executive Director on the Boards of Goldman Sachs International, Fortune Brands Home &amp; Security and BBA Aviation. Prior to this, she had an extensive global career in investment banking, holding senior roles at Credit Suisse, Barclays, Bankers Trust and First Boston Corporation. Susan served most of her career at Credit Suisse, where she was Chairman, EMEA Mergers and Acquisitions until 2009 and a Senior Advisor until 2014. </w:t>
      </w:r>
    </w:p>
    <w:p w:rsidR="00F87A95" w:rsidRDefault="00F87A95" w:rsidP="00F87A95">
      <w:pPr>
        <w:tabs>
          <w:tab w:val="left" w:pos="3816"/>
        </w:tabs>
        <w:spacing w:after="0"/>
        <w:jc w:val="both"/>
      </w:pPr>
      <w:r>
        <w:tab/>
      </w:r>
    </w:p>
    <w:p w:rsidR="00F87A95" w:rsidRDefault="00F87A95" w:rsidP="00F87A95">
      <w:pPr>
        <w:spacing w:after="0"/>
        <w:jc w:val="both"/>
        <w:rPr>
          <w:b/>
        </w:rPr>
      </w:pPr>
      <w:r>
        <w:rPr>
          <w:b/>
        </w:rPr>
        <w:t xml:space="preserve">Diageo Chairman, Javier </w:t>
      </w:r>
      <w:proofErr w:type="spellStart"/>
      <w:r>
        <w:rPr>
          <w:b/>
        </w:rPr>
        <w:t>Ferrán</w:t>
      </w:r>
      <w:proofErr w:type="spellEnd"/>
      <w:r>
        <w:rPr>
          <w:b/>
        </w:rPr>
        <w:t>, said:</w:t>
      </w:r>
    </w:p>
    <w:p w:rsidR="00F87A95" w:rsidRDefault="00F87A95" w:rsidP="00F87A95">
      <w:pPr>
        <w:spacing w:after="0"/>
        <w:jc w:val="both"/>
      </w:pPr>
      <w:r>
        <w:t>“I am delighted to welcome Susan to the Diageo Board. Her expertise and experience in finance and M&amp;A will serve Diageo well as we work towards our ambition to become one of the most trusted and respected consumer products companies in the world. I am sure Susan will be an inspiration to our people and the way we work.”</w:t>
      </w:r>
    </w:p>
    <w:p w:rsidR="00F87A95" w:rsidRDefault="00F87A95" w:rsidP="00F87A95">
      <w:pPr>
        <w:spacing w:after="0"/>
        <w:jc w:val="both"/>
        <w:rPr>
          <w:rStyle w:val="cq"/>
          <w:color w:val="000000"/>
        </w:rPr>
      </w:pPr>
    </w:p>
    <w:p w:rsidR="00F87A95" w:rsidRDefault="00F87A95" w:rsidP="00F87A95">
      <w:pPr>
        <w:pStyle w:val="bc"/>
        <w:spacing w:before="0" w:beforeAutospacing="0"/>
        <w:jc w:val="both"/>
        <w:rPr>
          <w:rFonts w:asciiTheme="minorHAnsi" w:hAnsiTheme="minorHAnsi"/>
        </w:rPr>
      </w:pPr>
      <w:r>
        <w:rPr>
          <w:rStyle w:val="ar"/>
          <w:rFonts w:asciiTheme="minorHAnsi" w:hAnsiTheme="minorHAnsi" w:cs="Arial"/>
          <w:color w:val="000000"/>
          <w:sz w:val="22"/>
          <w:szCs w:val="22"/>
        </w:rPr>
        <w:t>In accordance with Listing Rule 9.6.15, Diageo confirms that there are no further details to be disclosed pursuant to Listing Rule 9.6.13.</w:t>
      </w:r>
    </w:p>
    <w:p w:rsidR="00F87A95" w:rsidRDefault="00F87A95" w:rsidP="00F87A95">
      <w:pPr>
        <w:spacing w:after="0"/>
        <w:jc w:val="center"/>
        <w:rPr>
          <w:b/>
        </w:rPr>
      </w:pPr>
      <w:r>
        <w:rPr>
          <w:b/>
        </w:rPr>
        <w:t>ENDS</w:t>
      </w:r>
    </w:p>
    <w:p w:rsidR="00F87A95" w:rsidRDefault="00F87A95" w:rsidP="00F87A95">
      <w:pPr>
        <w:spacing w:after="0"/>
        <w:jc w:val="both"/>
        <w:rPr>
          <w:b/>
          <w:bCs/>
        </w:rPr>
      </w:pPr>
    </w:p>
    <w:p w:rsidR="00F87A95" w:rsidRDefault="00F87A95" w:rsidP="00F87A95">
      <w:pPr>
        <w:spacing w:after="0"/>
        <w:jc w:val="both"/>
        <w:rPr>
          <w:b/>
          <w:bCs/>
        </w:rPr>
      </w:pPr>
      <w:r>
        <w:rPr>
          <w:b/>
          <w:bCs/>
        </w:rPr>
        <w:t>Enquiries:</w:t>
      </w:r>
    </w:p>
    <w:p w:rsidR="00F87A95" w:rsidRDefault="00F87A95" w:rsidP="00F87A95">
      <w:pPr>
        <w:spacing w:after="0"/>
        <w:jc w:val="both"/>
        <w:rPr>
          <w:b/>
          <w:bCs/>
        </w:rPr>
      </w:pPr>
    </w:p>
    <w:tbl>
      <w:tblPr>
        <w:tblW w:w="9039" w:type="dxa"/>
        <w:tblInd w:w="-142" w:type="dxa"/>
        <w:tblCellMar>
          <w:left w:w="0" w:type="dxa"/>
          <w:right w:w="0" w:type="dxa"/>
        </w:tblCellMar>
        <w:tblLook w:val="04A0" w:firstRow="1" w:lastRow="0" w:firstColumn="1" w:lastColumn="0" w:noHBand="0" w:noVBand="1"/>
      </w:tblPr>
      <w:tblGrid>
        <w:gridCol w:w="2518"/>
        <w:gridCol w:w="357"/>
        <w:gridCol w:w="3350"/>
        <w:gridCol w:w="2814"/>
      </w:tblGrid>
      <w:tr w:rsidR="00F87A95" w:rsidTr="00F87A95">
        <w:trPr>
          <w:trHeight w:val="285"/>
        </w:trPr>
        <w:tc>
          <w:tcPr>
            <w:tcW w:w="2518" w:type="dxa"/>
            <w:noWrap/>
            <w:tcMar>
              <w:top w:w="0" w:type="dxa"/>
              <w:left w:w="108" w:type="dxa"/>
              <w:bottom w:w="0" w:type="dxa"/>
              <w:right w:w="108" w:type="dxa"/>
            </w:tcMar>
            <w:vAlign w:val="center"/>
            <w:hideMark/>
          </w:tcPr>
          <w:p w:rsidR="00F87A95" w:rsidRDefault="00F87A95">
            <w:pPr>
              <w:spacing w:after="0" w:line="256" w:lineRule="auto"/>
              <w:jc w:val="both"/>
              <w:rPr>
                <w:b/>
                <w:lang w:eastAsia="en-GB"/>
              </w:rPr>
            </w:pPr>
            <w:r>
              <w:rPr>
                <w:b/>
                <w:lang w:eastAsia="en-GB"/>
              </w:rPr>
              <w:t>Media Relations:</w:t>
            </w: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hideMark/>
          </w:tcPr>
          <w:p w:rsidR="00F87A95" w:rsidRDefault="00F87A95">
            <w:pPr>
              <w:spacing w:after="0" w:line="256" w:lineRule="auto"/>
              <w:jc w:val="both"/>
              <w:rPr>
                <w:i/>
              </w:rPr>
            </w:pPr>
            <w:r>
              <w:rPr>
                <w:lang w:eastAsia="en-GB"/>
              </w:rPr>
              <w:t>Jessica Rouleau</w:t>
            </w:r>
          </w:p>
        </w:tc>
        <w:tc>
          <w:tcPr>
            <w:tcW w:w="2814" w:type="dxa"/>
            <w:noWrap/>
            <w:tcMar>
              <w:top w:w="0" w:type="dxa"/>
              <w:left w:w="108" w:type="dxa"/>
              <w:bottom w:w="0" w:type="dxa"/>
              <w:right w:w="108" w:type="dxa"/>
            </w:tcMar>
            <w:vAlign w:val="bottom"/>
            <w:hideMark/>
          </w:tcPr>
          <w:p w:rsidR="00F87A95" w:rsidRDefault="00F87A95">
            <w:pPr>
              <w:spacing w:after="0" w:line="256" w:lineRule="auto"/>
              <w:rPr>
                <w:lang w:val="pt-BR" w:eastAsia="en-GB"/>
              </w:rPr>
            </w:pPr>
            <w:r>
              <w:rPr>
                <w:lang w:eastAsia="en-GB"/>
              </w:rPr>
              <w:t>+44 (0)20 8978 1286</w:t>
            </w:r>
          </w:p>
        </w:tc>
      </w:tr>
      <w:tr w:rsidR="00F87A95" w:rsidTr="00F87A95">
        <w:trPr>
          <w:trHeight w:val="285"/>
        </w:trPr>
        <w:tc>
          <w:tcPr>
            <w:tcW w:w="2518" w:type="dxa"/>
            <w:noWrap/>
            <w:tcMar>
              <w:top w:w="0" w:type="dxa"/>
              <w:left w:w="108" w:type="dxa"/>
              <w:bottom w:w="0" w:type="dxa"/>
              <w:right w:w="108" w:type="dxa"/>
            </w:tcMar>
            <w:vAlign w:val="center"/>
          </w:tcPr>
          <w:p w:rsidR="00F87A95" w:rsidRDefault="00F87A95">
            <w:pPr>
              <w:spacing w:after="0" w:line="256" w:lineRule="auto"/>
              <w:jc w:val="both"/>
              <w:rPr>
                <w:b/>
                <w:lang w:eastAsia="en-GB"/>
              </w:rPr>
            </w:pP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hideMark/>
          </w:tcPr>
          <w:p w:rsidR="00F87A95" w:rsidRDefault="00F87A95">
            <w:pPr>
              <w:spacing w:after="0" w:line="256" w:lineRule="auto"/>
              <w:jc w:val="both"/>
            </w:pPr>
            <w:r>
              <w:t>Bianca Agius</w:t>
            </w:r>
          </w:p>
        </w:tc>
        <w:tc>
          <w:tcPr>
            <w:tcW w:w="2814" w:type="dxa"/>
            <w:noWrap/>
            <w:tcMar>
              <w:top w:w="0" w:type="dxa"/>
              <w:left w:w="108" w:type="dxa"/>
              <w:bottom w:w="0" w:type="dxa"/>
              <w:right w:w="108" w:type="dxa"/>
            </w:tcMar>
            <w:vAlign w:val="bottom"/>
            <w:hideMark/>
          </w:tcPr>
          <w:p w:rsidR="00F87A95" w:rsidRDefault="00F87A95">
            <w:pPr>
              <w:spacing w:after="0" w:line="256" w:lineRule="auto"/>
              <w:rPr>
                <w:lang w:val="pt-BR" w:eastAsia="en-GB"/>
              </w:rPr>
            </w:pPr>
            <w:r>
              <w:rPr>
                <w:lang w:eastAsia="en-GB"/>
              </w:rPr>
              <w:t>+44 (0)20 8978 1450</w:t>
            </w:r>
          </w:p>
        </w:tc>
      </w:tr>
      <w:tr w:rsidR="00F87A95" w:rsidTr="00F87A95">
        <w:trPr>
          <w:trHeight w:val="285"/>
        </w:trPr>
        <w:tc>
          <w:tcPr>
            <w:tcW w:w="2518" w:type="dxa"/>
            <w:noWrap/>
            <w:tcMar>
              <w:top w:w="0" w:type="dxa"/>
              <w:left w:w="108" w:type="dxa"/>
              <w:bottom w:w="0" w:type="dxa"/>
              <w:right w:w="108" w:type="dxa"/>
            </w:tcMar>
            <w:vAlign w:val="center"/>
            <w:hideMark/>
          </w:tcPr>
          <w:p w:rsidR="00F87A95" w:rsidRDefault="00F87A95">
            <w:pPr>
              <w:rPr>
                <w:lang w:val="pt-BR" w:eastAsia="en-GB"/>
              </w:rPr>
            </w:pP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hideMark/>
          </w:tcPr>
          <w:p w:rsidR="00F87A95" w:rsidRDefault="00F87A95">
            <w:pPr>
              <w:spacing w:after="0" w:line="256" w:lineRule="auto"/>
              <w:jc w:val="both"/>
            </w:pPr>
            <w:hyperlink r:id="rId8" w:history="1">
              <w:r>
                <w:rPr>
                  <w:rStyle w:val="Hyperlink"/>
                  <w:lang w:eastAsia="en-GB"/>
                </w:rPr>
                <w:t>press@diageo.com</w:t>
              </w:r>
            </w:hyperlink>
          </w:p>
        </w:tc>
        <w:tc>
          <w:tcPr>
            <w:tcW w:w="2814" w:type="dxa"/>
            <w:noWrap/>
            <w:tcMar>
              <w:top w:w="0" w:type="dxa"/>
              <w:left w:w="108" w:type="dxa"/>
              <w:bottom w:w="0" w:type="dxa"/>
              <w:right w:w="108" w:type="dxa"/>
            </w:tcMar>
            <w:vAlign w:val="bottom"/>
            <w:hideMark/>
          </w:tcPr>
          <w:p w:rsidR="00F87A95" w:rsidRDefault="00F87A95">
            <w:pPr>
              <w:spacing w:after="0" w:line="256" w:lineRule="auto"/>
              <w:jc w:val="both"/>
              <w:rPr>
                <w:lang w:eastAsia="en-GB"/>
              </w:rPr>
            </w:pPr>
            <w:r>
              <w:rPr>
                <w:lang w:eastAsia="en-GB"/>
              </w:rPr>
              <w:t>+44 (0)</w:t>
            </w:r>
            <w:r>
              <w:t>20 8978 2749</w:t>
            </w:r>
          </w:p>
        </w:tc>
      </w:tr>
      <w:tr w:rsidR="00F87A95" w:rsidTr="00F87A95">
        <w:trPr>
          <w:trHeight w:val="285"/>
        </w:trPr>
        <w:tc>
          <w:tcPr>
            <w:tcW w:w="2518" w:type="dxa"/>
            <w:noWrap/>
            <w:tcMar>
              <w:top w:w="0" w:type="dxa"/>
              <w:left w:w="108" w:type="dxa"/>
              <w:bottom w:w="0" w:type="dxa"/>
              <w:right w:w="108" w:type="dxa"/>
            </w:tcMar>
            <w:vAlign w:val="center"/>
          </w:tcPr>
          <w:p w:rsidR="00F87A95" w:rsidRDefault="00F87A95">
            <w:pPr>
              <w:spacing w:after="0" w:line="256" w:lineRule="auto"/>
              <w:jc w:val="both"/>
              <w:rPr>
                <w:b/>
                <w:lang w:eastAsia="en-GB"/>
              </w:rPr>
            </w:pP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hideMark/>
          </w:tcPr>
          <w:p w:rsidR="00F87A95" w:rsidRDefault="00F87A95">
            <w:pPr>
              <w:rPr>
                <w:lang w:eastAsia="en-GB"/>
              </w:rPr>
            </w:pPr>
          </w:p>
        </w:tc>
        <w:tc>
          <w:tcPr>
            <w:tcW w:w="2814" w:type="dxa"/>
            <w:noWrap/>
            <w:tcMar>
              <w:top w:w="0" w:type="dxa"/>
              <w:left w:w="108" w:type="dxa"/>
              <w:bottom w:w="0" w:type="dxa"/>
              <w:right w:w="108" w:type="dxa"/>
            </w:tcMar>
            <w:vAlign w:val="bottom"/>
            <w:hideMark/>
          </w:tcPr>
          <w:p w:rsidR="00F87A95" w:rsidRDefault="00F87A95">
            <w:pPr>
              <w:spacing w:after="0" w:line="256" w:lineRule="auto"/>
              <w:rPr>
                <w:sz w:val="20"/>
                <w:szCs w:val="20"/>
                <w:lang w:eastAsia="en-GB"/>
              </w:rPr>
            </w:pPr>
          </w:p>
        </w:tc>
      </w:tr>
      <w:tr w:rsidR="00F87A95" w:rsidTr="00F87A95">
        <w:trPr>
          <w:trHeight w:val="285"/>
        </w:trPr>
        <w:tc>
          <w:tcPr>
            <w:tcW w:w="2518" w:type="dxa"/>
            <w:noWrap/>
            <w:tcMar>
              <w:top w:w="0" w:type="dxa"/>
              <w:left w:w="108" w:type="dxa"/>
              <w:bottom w:w="0" w:type="dxa"/>
              <w:right w:w="108" w:type="dxa"/>
            </w:tcMar>
            <w:vAlign w:val="center"/>
          </w:tcPr>
          <w:p w:rsidR="00F87A95" w:rsidRDefault="00F87A95">
            <w:pPr>
              <w:spacing w:after="0" w:line="256" w:lineRule="auto"/>
              <w:rPr>
                <w:lang w:eastAsia="en-GB"/>
              </w:rPr>
            </w:pP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tcPr>
          <w:p w:rsidR="00F87A95" w:rsidRDefault="00F87A95">
            <w:pPr>
              <w:spacing w:after="0" w:line="256" w:lineRule="auto"/>
              <w:jc w:val="both"/>
            </w:pPr>
          </w:p>
        </w:tc>
        <w:tc>
          <w:tcPr>
            <w:tcW w:w="2814"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r>
      <w:tr w:rsidR="00F87A95" w:rsidTr="00F87A95">
        <w:trPr>
          <w:trHeight w:val="285"/>
        </w:trPr>
        <w:tc>
          <w:tcPr>
            <w:tcW w:w="2518" w:type="dxa"/>
            <w:noWrap/>
            <w:tcMar>
              <w:top w:w="0" w:type="dxa"/>
              <w:left w:w="108" w:type="dxa"/>
              <w:bottom w:w="0" w:type="dxa"/>
              <w:right w:w="108" w:type="dxa"/>
            </w:tcMar>
            <w:vAlign w:val="center"/>
            <w:hideMark/>
          </w:tcPr>
          <w:p w:rsidR="00F87A95" w:rsidRDefault="00F87A95">
            <w:pPr>
              <w:spacing w:after="0" w:line="256" w:lineRule="auto"/>
              <w:jc w:val="both"/>
              <w:rPr>
                <w:b/>
                <w:lang w:eastAsia="en-GB"/>
              </w:rPr>
            </w:pPr>
            <w:r>
              <w:rPr>
                <w:b/>
                <w:lang w:eastAsia="en-GB"/>
              </w:rPr>
              <w:t>Investor Relations:</w:t>
            </w: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hideMark/>
          </w:tcPr>
          <w:p w:rsidR="00F87A95" w:rsidRDefault="00F87A95">
            <w:pPr>
              <w:pStyle w:val="Normal360"/>
              <w:spacing w:after="0" w:line="240" w:lineRule="auto"/>
              <w:jc w:val="both"/>
              <w:rPr>
                <w:rFonts w:asciiTheme="minorHAnsi" w:hAnsiTheme="minorHAnsi" w:cs="Arial"/>
              </w:rPr>
            </w:pPr>
            <w:r>
              <w:rPr>
                <w:rFonts w:asciiTheme="minorHAnsi" w:hAnsiTheme="minorHAnsi" w:cs="Arial"/>
              </w:rPr>
              <w:t>Pier Falcione</w:t>
            </w:r>
          </w:p>
        </w:tc>
        <w:tc>
          <w:tcPr>
            <w:tcW w:w="2814" w:type="dxa"/>
            <w:noWrap/>
            <w:tcMar>
              <w:top w:w="0" w:type="dxa"/>
              <w:left w:w="108" w:type="dxa"/>
              <w:bottom w:w="0" w:type="dxa"/>
              <w:right w:w="108" w:type="dxa"/>
            </w:tcMar>
            <w:hideMark/>
          </w:tcPr>
          <w:p w:rsidR="00F87A95" w:rsidRDefault="00F87A95">
            <w:pPr>
              <w:pStyle w:val="Normal360"/>
              <w:spacing w:after="0" w:line="240" w:lineRule="auto"/>
              <w:jc w:val="both"/>
              <w:rPr>
                <w:rFonts w:asciiTheme="minorHAnsi" w:hAnsiTheme="minorHAnsi" w:cs="Arial"/>
              </w:rPr>
            </w:pPr>
            <w:r>
              <w:rPr>
                <w:rFonts w:asciiTheme="minorHAnsi" w:hAnsiTheme="minorHAnsi" w:cs="Arial"/>
              </w:rPr>
              <w:t>+44 (0) 20 8978 4838</w:t>
            </w:r>
          </w:p>
        </w:tc>
      </w:tr>
      <w:tr w:rsidR="00F87A95" w:rsidTr="00F87A95">
        <w:trPr>
          <w:trHeight w:val="285"/>
        </w:trPr>
        <w:tc>
          <w:tcPr>
            <w:tcW w:w="2518" w:type="dxa"/>
            <w:noWrap/>
            <w:tcMar>
              <w:top w:w="0" w:type="dxa"/>
              <w:left w:w="108" w:type="dxa"/>
              <w:bottom w:w="0" w:type="dxa"/>
              <w:right w:w="108" w:type="dxa"/>
            </w:tcMar>
            <w:vAlign w:val="center"/>
          </w:tcPr>
          <w:p w:rsidR="00F87A95" w:rsidRDefault="00F87A95">
            <w:pPr>
              <w:spacing w:after="0" w:line="256" w:lineRule="auto"/>
              <w:jc w:val="both"/>
              <w:rPr>
                <w:b/>
                <w:lang w:eastAsia="en-GB"/>
              </w:rPr>
            </w:pPr>
          </w:p>
        </w:tc>
        <w:tc>
          <w:tcPr>
            <w:tcW w:w="357"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c>
          <w:tcPr>
            <w:tcW w:w="3350" w:type="dxa"/>
            <w:noWrap/>
            <w:tcMar>
              <w:top w:w="0" w:type="dxa"/>
              <w:left w:w="108" w:type="dxa"/>
              <w:bottom w:w="0" w:type="dxa"/>
              <w:right w:w="108" w:type="dxa"/>
            </w:tcMar>
            <w:vAlign w:val="center"/>
            <w:hideMark/>
          </w:tcPr>
          <w:p w:rsidR="00F87A95" w:rsidRDefault="00F87A95">
            <w:pPr>
              <w:spacing w:after="0" w:line="256" w:lineRule="auto"/>
              <w:jc w:val="both"/>
              <w:rPr>
                <w:lang w:eastAsia="en-GB"/>
              </w:rPr>
            </w:pPr>
            <w:hyperlink r:id="rId9" w:history="1">
              <w:r>
                <w:rPr>
                  <w:rStyle w:val="Hyperlink"/>
                  <w:lang w:eastAsia="en-GB"/>
                </w:rPr>
                <w:t>investor.relations@diageo.com</w:t>
              </w:r>
            </w:hyperlink>
          </w:p>
        </w:tc>
        <w:tc>
          <w:tcPr>
            <w:tcW w:w="2814" w:type="dxa"/>
            <w:noWrap/>
            <w:tcMar>
              <w:top w:w="0" w:type="dxa"/>
              <w:left w:w="108" w:type="dxa"/>
              <w:bottom w:w="0" w:type="dxa"/>
              <w:right w:w="108" w:type="dxa"/>
            </w:tcMar>
            <w:vAlign w:val="bottom"/>
          </w:tcPr>
          <w:p w:rsidR="00F87A95" w:rsidRDefault="00F87A95">
            <w:pPr>
              <w:spacing w:after="0" w:line="256" w:lineRule="auto"/>
              <w:jc w:val="both"/>
              <w:rPr>
                <w:lang w:eastAsia="en-GB"/>
              </w:rPr>
            </w:pPr>
          </w:p>
        </w:tc>
      </w:tr>
    </w:tbl>
    <w:p w:rsidR="00F87A95" w:rsidRDefault="00F87A95" w:rsidP="00F87A95">
      <w:pPr>
        <w:pStyle w:val="MarginText"/>
        <w:overflowPunct/>
        <w:autoSpaceDE/>
        <w:adjustRightInd/>
        <w:spacing w:after="0" w:line="240" w:lineRule="auto"/>
        <w:rPr>
          <w:rFonts w:asciiTheme="minorHAnsi" w:hAnsiTheme="minorHAnsi"/>
          <w:iCs/>
          <w:szCs w:val="22"/>
          <w:lang w:val="en-GB"/>
        </w:rPr>
      </w:pPr>
    </w:p>
    <w:p w:rsidR="00F87A95" w:rsidRDefault="00F87A95" w:rsidP="00F87A95">
      <w:pPr>
        <w:pStyle w:val="NormalWeb"/>
        <w:shd w:val="clear" w:color="auto" w:fill="FFFFFF"/>
        <w:rPr>
          <w:rStyle w:val="Strong"/>
          <w:rFonts w:cs="Helvetica"/>
          <w:color w:val="auto"/>
          <w:sz w:val="22"/>
        </w:rPr>
      </w:pPr>
    </w:p>
    <w:p w:rsidR="00F87A95" w:rsidRDefault="00F87A95" w:rsidP="00F87A95">
      <w:pPr>
        <w:pStyle w:val="NormalWeb"/>
        <w:shd w:val="clear" w:color="auto" w:fill="FFFFFF"/>
        <w:rPr>
          <w:rStyle w:val="Strong"/>
          <w:rFonts w:asciiTheme="minorHAnsi" w:hAnsiTheme="minorHAnsi" w:cs="Helvetica"/>
          <w:color w:val="auto"/>
          <w:sz w:val="22"/>
          <w:szCs w:val="22"/>
        </w:rPr>
      </w:pPr>
    </w:p>
    <w:p w:rsidR="00F87A95" w:rsidRDefault="00F87A95" w:rsidP="00F87A95">
      <w:pPr>
        <w:pStyle w:val="NormalWeb"/>
        <w:shd w:val="clear" w:color="auto" w:fill="FFFFFF"/>
        <w:rPr>
          <w:rStyle w:val="Strong"/>
          <w:rFonts w:asciiTheme="minorHAnsi" w:hAnsiTheme="minorHAnsi" w:cs="Helvetica"/>
          <w:color w:val="auto"/>
          <w:sz w:val="22"/>
          <w:szCs w:val="22"/>
        </w:rPr>
      </w:pPr>
      <w:r>
        <w:rPr>
          <w:rStyle w:val="Strong"/>
          <w:rFonts w:asciiTheme="minorHAnsi" w:hAnsiTheme="minorHAnsi" w:cs="Helvetica"/>
          <w:color w:val="auto"/>
          <w:sz w:val="22"/>
          <w:szCs w:val="22"/>
        </w:rPr>
        <w:t>Notes to Editors</w:t>
      </w:r>
    </w:p>
    <w:p w:rsidR="00F87A95" w:rsidRDefault="00F87A95" w:rsidP="00F87A95">
      <w:pPr>
        <w:pStyle w:val="NormalWeb"/>
        <w:shd w:val="clear" w:color="auto" w:fill="FFFFFF"/>
        <w:rPr>
          <w:rStyle w:val="Strong"/>
          <w:rFonts w:asciiTheme="minorHAnsi" w:hAnsiTheme="minorHAnsi" w:cs="Helvetica"/>
          <w:color w:val="auto"/>
          <w:sz w:val="22"/>
          <w:szCs w:val="22"/>
        </w:rPr>
      </w:pPr>
    </w:p>
    <w:p w:rsidR="00F87A95" w:rsidRDefault="00F87A95" w:rsidP="00F87A95">
      <w:pPr>
        <w:pStyle w:val="NormalWeb"/>
        <w:shd w:val="clear" w:color="auto" w:fill="FFFFFF"/>
        <w:rPr>
          <w:rStyle w:val="Strong"/>
          <w:rFonts w:asciiTheme="minorHAnsi" w:hAnsiTheme="minorHAnsi" w:cs="Helvetica"/>
          <w:b w:val="0"/>
          <w:color w:val="auto"/>
          <w:sz w:val="22"/>
          <w:szCs w:val="22"/>
        </w:rPr>
      </w:pPr>
      <w:r>
        <w:rPr>
          <w:rStyle w:val="Strong"/>
          <w:rFonts w:asciiTheme="minorHAnsi" w:hAnsiTheme="minorHAnsi" w:cs="Helvetica"/>
          <w:color w:val="auto"/>
          <w:sz w:val="22"/>
          <w:szCs w:val="22"/>
        </w:rPr>
        <w:t xml:space="preserve">About </w:t>
      </w:r>
      <w:r>
        <w:rPr>
          <w:rFonts w:asciiTheme="minorHAnsi" w:hAnsiTheme="minorHAnsi"/>
          <w:b/>
          <w:color w:val="auto"/>
          <w:sz w:val="22"/>
          <w:szCs w:val="22"/>
        </w:rPr>
        <w:t xml:space="preserve">Susan </w:t>
      </w:r>
      <w:proofErr w:type="spellStart"/>
      <w:r>
        <w:rPr>
          <w:rFonts w:asciiTheme="minorHAnsi" w:hAnsiTheme="minorHAnsi"/>
          <w:b/>
          <w:color w:val="auto"/>
          <w:sz w:val="22"/>
          <w:szCs w:val="22"/>
        </w:rPr>
        <w:t>Kilsby</w:t>
      </w:r>
      <w:proofErr w:type="spellEnd"/>
      <w:r>
        <w:rPr>
          <w:rFonts w:asciiTheme="minorHAnsi" w:hAnsiTheme="minorHAnsi"/>
          <w:b/>
          <w:color w:val="auto"/>
          <w:sz w:val="22"/>
          <w:szCs w:val="22"/>
        </w:rPr>
        <w:t xml:space="preserve"> </w:t>
      </w:r>
    </w:p>
    <w:p w:rsidR="00F87A95" w:rsidRDefault="00F87A95" w:rsidP="00F87A95">
      <w:pPr>
        <w:pStyle w:val="NormalWeb"/>
        <w:shd w:val="clear" w:color="auto" w:fill="FFFFFF"/>
        <w:jc w:val="both"/>
        <w:rPr>
          <w:rFonts w:cstheme="minorHAnsi"/>
        </w:rPr>
      </w:pPr>
      <w:r>
        <w:rPr>
          <w:rFonts w:asciiTheme="minorHAnsi" w:hAnsiTheme="minorHAnsi" w:cstheme="minorHAnsi"/>
          <w:bCs/>
          <w:color w:val="auto"/>
          <w:sz w:val="22"/>
          <w:szCs w:val="22"/>
        </w:rPr>
        <w:t xml:space="preserve">Ms </w:t>
      </w:r>
      <w:proofErr w:type="spellStart"/>
      <w:r>
        <w:rPr>
          <w:rFonts w:asciiTheme="minorHAnsi" w:hAnsiTheme="minorHAnsi" w:cstheme="minorHAnsi"/>
          <w:bCs/>
          <w:color w:val="auto"/>
          <w:sz w:val="22"/>
          <w:szCs w:val="22"/>
        </w:rPr>
        <w:t>Kilsby</w:t>
      </w:r>
      <w:proofErr w:type="spellEnd"/>
      <w:r>
        <w:rPr>
          <w:rFonts w:asciiTheme="minorHAnsi" w:hAnsiTheme="minorHAnsi" w:cstheme="minorHAnsi"/>
          <w:bCs/>
          <w:color w:val="auto"/>
          <w:sz w:val="22"/>
          <w:szCs w:val="22"/>
        </w:rPr>
        <w:t xml:space="preserve"> has served as a Non-Executive Director of Shire since 2011 and was appointed Chairman in 2014. She is also Chairman of the Nomination and Governance Committee.</w:t>
      </w:r>
    </w:p>
    <w:p w:rsidR="00F87A95" w:rsidRDefault="00F87A95" w:rsidP="00F87A95">
      <w:pPr>
        <w:pStyle w:val="NormalWeb"/>
        <w:shd w:val="clear" w:color="auto" w:fill="FFFFFF"/>
        <w:jc w:val="both"/>
        <w:rPr>
          <w:rFonts w:asciiTheme="minorHAnsi" w:hAnsiTheme="minorHAnsi" w:cstheme="minorHAnsi"/>
          <w:bCs/>
          <w:color w:val="auto"/>
          <w:sz w:val="22"/>
          <w:szCs w:val="22"/>
        </w:rPr>
      </w:pPr>
    </w:p>
    <w:p w:rsidR="00F87A95" w:rsidRDefault="00F87A95" w:rsidP="00F87A95">
      <w:pPr>
        <w:pStyle w:val="NormalWeb"/>
        <w:shd w:val="clear" w:color="auto" w:fill="FFFFFF"/>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She is a Non-Executive Director of Goldman Sachs International, Fortune Brands Home &amp; Security, </w:t>
      </w:r>
      <w:proofErr w:type="spellStart"/>
      <w:r>
        <w:rPr>
          <w:rFonts w:asciiTheme="minorHAnsi" w:hAnsiTheme="minorHAnsi" w:cstheme="minorHAnsi"/>
          <w:bCs/>
          <w:color w:val="auto"/>
          <w:sz w:val="22"/>
          <w:szCs w:val="22"/>
        </w:rPr>
        <w:t>Inc</w:t>
      </w:r>
      <w:proofErr w:type="spellEnd"/>
      <w:r>
        <w:rPr>
          <w:rFonts w:asciiTheme="minorHAnsi" w:hAnsiTheme="minorHAnsi" w:cstheme="minorHAnsi"/>
          <w:bCs/>
          <w:color w:val="auto"/>
          <w:sz w:val="22"/>
          <w:szCs w:val="22"/>
        </w:rPr>
        <w:t xml:space="preserve"> and BBA Aviation plc where she is Chairman of the Remuneration Committee.  During her career she held senior roles with The First Boston Corporation, Bankers Trust, Barclays and Credit Suisse.</w:t>
      </w:r>
    </w:p>
    <w:p w:rsidR="00F87A95" w:rsidRDefault="00F87A95" w:rsidP="00F87A95">
      <w:pPr>
        <w:pStyle w:val="NormalWeb"/>
        <w:shd w:val="clear" w:color="auto" w:fill="FFFFFF"/>
        <w:jc w:val="both"/>
        <w:rPr>
          <w:rFonts w:asciiTheme="minorHAnsi" w:hAnsiTheme="minorHAnsi" w:cstheme="minorHAnsi"/>
          <w:bCs/>
          <w:color w:val="auto"/>
          <w:sz w:val="22"/>
          <w:szCs w:val="22"/>
        </w:rPr>
      </w:pPr>
    </w:p>
    <w:p w:rsidR="00F87A95" w:rsidRDefault="00F87A95" w:rsidP="00F87A95">
      <w:pPr>
        <w:pStyle w:val="NormalWeb"/>
        <w:shd w:val="clear" w:color="auto" w:fill="FFFFFF"/>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 xml:space="preserve">From 2010 to 2013, Ms </w:t>
      </w:r>
      <w:proofErr w:type="spellStart"/>
      <w:r>
        <w:rPr>
          <w:rFonts w:asciiTheme="minorHAnsi" w:hAnsiTheme="minorHAnsi" w:cstheme="minorHAnsi"/>
          <w:bCs/>
          <w:color w:val="auto"/>
          <w:sz w:val="22"/>
          <w:szCs w:val="22"/>
        </w:rPr>
        <w:t>Kilsby</w:t>
      </w:r>
      <w:proofErr w:type="spellEnd"/>
      <w:r>
        <w:rPr>
          <w:rFonts w:asciiTheme="minorHAnsi" w:hAnsiTheme="minorHAnsi" w:cstheme="minorHAnsi"/>
          <w:bCs/>
          <w:color w:val="auto"/>
          <w:sz w:val="22"/>
          <w:szCs w:val="22"/>
        </w:rPr>
        <w:t xml:space="preserve"> was International Region Chair of C200, an organisation composed of leading women in business globally.  She is also a founding member of the Competitor Diversity Forum in London.</w:t>
      </w:r>
    </w:p>
    <w:p w:rsidR="00F87A95" w:rsidRDefault="00F87A95" w:rsidP="00F87A95">
      <w:pPr>
        <w:pStyle w:val="NormalWeb"/>
        <w:shd w:val="clear" w:color="auto" w:fill="FFFFFF"/>
        <w:jc w:val="both"/>
        <w:rPr>
          <w:rFonts w:asciiTheme="minorHAnsi" w:hAnsiTheme="minorHAnsi" w:cstheme="minorHAnsi"/>
          <w:bCs/>
          <w:color w:val="auto"/>
          <w:sz w:val="22"/>
          <w:szCs w:val="22"/>
        </w:rPr>
      </w:pPr>
    </w:p>
    <w:p w:rsidR="00F87A95" w:rsidRDefault="00F87A95" w:rsidP="00F87A95">
      <w:pPr>
        <w:pStyle w:val="NormalWeb"/>
        <w:shd w:val="clear" w:color="auto" w:fill="FFFFFF"/>
        <w:jc w:val="both"/>
        <w:rPr>
          <w:rFonts w:cstheme="minorHAnsi"/>
          <w:b/>
        </w:rPr>
      </w:pPr>
      <w:r>
        <w:rPr>
          <w:rFonts w:asciiTheme="minorHAnsi" w:hAnsiTheme="minorHAnsi" w:cstheme="minorHAnsi"/>
          <w:bCs/>
          <w:color w:val="auto"/>
          <w:sz w:val="22"/>
          <w:szCs w:val="22"/>
        </w:rPr>
        <w:t>She has a BA in Economics from Wellesley College, an MBA from the Yale School of Management and received a Doctor of Science (Honoris Causa) from The City University London.</w:t>
      </w:r>
    </w:p>
    <w:p w:rsidR="00F87A95" w:rsidRDefault="00F87A95" w:rsidP="00F87A95">
      <w:pPr>
        <w:pStyle w:val="MarginText"/>
        <w:overflowPunct/>
        <w:autoSpaceDE/>
        <w:adjustRightInd/>
        <w:spacing w:after="0" w:line="240" w:lineRule="auto"/>
        <w:rPr>
          <w:rFonts w:asciiTheme="minorHAnsi" w:hAnsiTheme="minorHAnsi"/>
          <w:b/>
          <w:iCs/>
          <w:szCs w:val="22"/>
          <w:lang w:val="en"/>
        </w:rPr>
      </w:pPr>
    </w:p>
    <w:p w:rsidR="00F87A95" w:rsidRDefault="00F87A95" w:rsidP="00F87A95">
      <w:pPr>
        <w:pStyle w:val="MarginText"/>
        <w:overflowPunct/>
        <w:autoSpaceDE/>
        <w:adjustRightInd/>
        <w:spacing w:after="0" w:line="240" w:lineRule="auto"/>
        <w:rPr>
          <w:rFonts w:asciiTheme="minorHAnsi" w:hAnsiTheme="minorHAnsi"/>
          <w:b/>
          <w:iCs/>
          <w:szCs w:val="22"/>
          <w:lang w:val="en"/>
        </w:rPr>
      </w:pPr>
      <w:r>
        <w:rPr>
          <w:rFonts w:asciiTheme="minorHAnsi" w:hAnsiTheme="minorHAnsi"/>
          <w:b/>
          <w:iCs/>
          <w:szCs w:val="22"/>
          <w:lang w:val="en"/>
        </w:rPr>
        <w:t>About Diageo</w:t>
      </w:r>
    </w:p>
    <w:p w:rsidR="00F87A95" w:rsidRDefault="00F87A95" w:rsidP="00F87A95">
      <w:pPr>
        <w:spacing w:after="0"/>
        <w:jc w:val="both"/>
      </w:pPr>
      <w:r>
        <w:t xml:space="preserve">Diageo is a global leader in beverage alcohol with an outstanding collection of brands including Johnnie Walker, Crown Royal, </w:t>
      </w:r>
      <w:proofErr w:type="spellStart"/>
      <w:r>
        <w:t>JεB</w:t>
      </w:r>
      <w:proofErr w:type="spellEnd"/>
      <w:r>
        <w:t xml:space="preserve">, Buchanan’s and Windsor whiskies, Smirnoff, Cîroc and </w:t>
      </w:r>
      <w:proofErr w:type="spellStart"/>
      <w:r>
        <w:t>Ketel</w:t>
      </w:r>
      <w:proofErr w:type="spellEnd"/>
      <w:r>
        <w:t xml:space="preserve"> One vodkas, Captain Morgan, Baileys, Don Julio, Tanqueray and Guinness.</w:t>
      </w:r>
    </w:p>
    <w:p w:rsidR="00F87A95" w:rsidRDefault="00F87A95" w:rsidP="00F87A95">
      <w:pPr>
        <w:spacing w:after="0"/>
        <w:jc w:val="both"/>
      </w:pPr>
    </w:p>
    <w:p w:rsidR="00F87A95" w:rsidRDefault="00F87A95" w:rsidP="00F87A95">
      <w:pPr>
        <w:spacing w:after="0"/>
        <w:jc w:val="both"/>
      </w:pPr>
      <w:r>
        <w:t xml:space="preserve">Diageo is a global company, and our products are sold in more than 180 countries around the world. The company is listed on both the London Stock Exchange (DGE) and the New York Stock Exchange (DEO). For more information about Diageo, our people, our brands, and performance, visit us at </w:t>
      </w:r>
      <w:hyperlink r:id="rId10" w:history="1">
        <w:r>
          <w:rPr>
            <w:rStyle w:val="Hyperlink"/>
          </w:rPr>
          <w:t>www.diageo.com</w:t>
        </w:r>
      </w:hyperlink>
      <w:r>
        <w:t xml:space="preserve">. Visit Diageo’s global responsible drinking resource, </w:t>
      </w:r>
      <w:hyperlink r:id="rId11" w:history="1">
        <w:r>
          <w:rPr>
            <w:rStyle w:val="Hyperlink"/>
          </w:rPr>
          <w:t>www.DRINKiQ.com</w:t>
        </w:r>
      </w:hyperlink>
      <w:r>
        <w:t>, for information, initiatives, and ways to share best practice.</w:t>
      </w:r>
    </w:p>
    <w:p w:rsidR="00F87A95" w:rsidRDefault="00F87A95" w:rsidP="00F87A95">
      <w:pPr>
        <w:spacing w:after="0"/>
        <w:jc w:val="both"/>
      </w:pPr>
    </w:p>
    <w:p w:rsidR="00F87A95" w:rsidRDefault="00F87A95" w:rsidP="00F87A95">
      <w:pPr>
        <w:pStyle w:val="MarginText"/>
        <w:overflowPunct/>
        <w:autoSpaceDE/>
        <w:adjustRightInd/>
        <w:spacing w:after="0" w:line="240" w:lineRule="auto"/>
        <w:rPr>
          <w:rFonts w:asciiTheme="minorHAnsi" w:eastAsiaTheme="minorHAnsi" w:hAnsiTheme="minorHAnsi"/>
          <w:szCs w:val="22"/>
          <w:lang w:val="en-US"/>
        </w:rPr>
      </w:pPr>
      <w:r>
        <w:rPr>
          <w:rFonts w:asciiTheme="minorHAnsi" w:eastAsiaTheme="minorHAnsi" w:hAnsiTheme="minorHAnsi"/>
          <w:szCs w:val="22"/>
          <w:lang w:val="en-US"/>
        </w:rPr>
        <w:t>Celebrating life, every day, everywhere.</w:t>
      </w:r>
    </w:p>
    <w:p w:rsidR="00F87A95" w:rsidRDefault="00F87A95" w:rsidP="00F87A95">
      <w:pPr>
        <w:pStyle w:val="MarginText"/>
        <w:overflowPunct/>
        <w:autoSpaceDE/>
        <w:adjustRightInd/>
        <w:spacing w:after="0" w:line="240" w:lineRule="auto"/>
        <w:rPr>
          <w:rFonts w:asciiTheme="minorHAnsi" w:hAnsiTheme="minorHAnsi"/>
          <w:iCs/>
          <w:szCs w:val="22"/>
          <w:lang w:val="en-GB"/>
        </w:rPr>
      </w:pPr>
    </w:p>
    <w:p w:rsidR="00F87A95" w:rsidRDefault="00F87A95" w:rsidP="00F87A95">
      <w:pPr>
        <w:spacing w:after="0"/>
      </w:pPr>
    </w:p>
    <w:p w:rsidR="00070180" w:rsidRPr="008A68BF" w:rsidRDefault="00070180" w:rsidP="0038415E">
      <w:pPr>
        <w:spacing w:after="0" w:line="240" w:lineRule="auto"/>
        <w:jc w:val="center"/>
        <w:rPr>
          <w:rFonts w:cs="Arial"/>
        </w:rPr>
      </w:pPr>
    </w:p>
    <w:sectPr w:rsidR="00070180" w:rsidRPr="008A68B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DF" w:rsidRDefault="003C0ADF" w:rsidP="00081B0B">
      <w:pPr>
        <w:spacing w:after="0" w:line="240" w:lineRule="auto"/>
      </w:pPr>
      <w:r>
        <w:separator/>
      </w:r>
    </w:p>
  </w:endnote>
  <w:endnote w:type="continuationSeparator" w:id="0">
    <w:p w:rsidR="003C0ADF" w:rsidRDefault="003C0ADF" w:rsidP="0008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E2" w:rsidRDefault="00DC65E2">
    <w:pPr>
      <w:pStyle w:val="Footer"/>
      <w:jc w:val="center"/>
      <w:rPr>
        <w:rFonts w:ascii="Arial" w:hAnsi="Arial" w:cs="Arial"/>
        <w:b/>
        <w:color w:val="FF0000"/>
        <w:sz w:val="20"/>
      </w:rPr>
    </w:pPr>
    <w:bookmarkStart w:id="5" w:name="aliashHighlyConfidential1FooterEvenPages"/>
    <w:r>
      <w:rPr>
        <w:rFonts w:ascii="Arial" w:hAnsi="Arial" w:cs="Arial"/>
        <w:b/>
        <w:color w:val="FF0000"/>
        <w:sz w:val="20"/>
      </w:rPr>
      <w:t>Highly Confidential</w:t>
    </w:r>
  </w:p>
  <w:p w:rsidR="00081B0B" w:rsidRDefault="00081B0B">
    <w:pPr>
      <w:pStyle w:val="Footer"/>
      <w:jc w:val="center"/>
      <w:rPr>
        <w:rFonts w:ascii="Arial" w:hAnsi="Arial" w:cs="Arial"/>
        <w:b/>
        <w:color w:val="FF0000"/>
        <w:sz w:val="20"/>
      </w:rPr>
    </w:pPr>
  </w:p>
  <w:p w:rsidR="00081B0B" w:rsidRDefault="00081B0B" w:rsidP="0024215B">
    <w:pPr>
      <w:pStyle w:val="Footer"/>
      <w:jc w:val="center"/>
      <w:rPr>
        <w:rFonts w:ascii="Arial" w:hAnsi="Arial" w:cs="Arial"/>
        <w:b/>
        <w:color w:val="FF0000"/>
        <w:sz w:val="20"/>
      </w:rPr>
    </w:pPr>
    <w:bookmarkStart w:id="6" w:name="aliashConfidential1FooterEvenPages"/>
    <w:bookmarkEnd w:id="5"/>
  </w:p>
  <w:bookmarkEnd w:id="6"/>
  <w:p w:rsidR="001A6233" w:rsidRDefault="001A6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5E" w:rsidRDefault="0038415E" w:rsidP="0024215B">
    <w:pPr>
      <w:pStyle w:val="Footer"/>
      <w:jc w:val="center"/>
      <w:rPr>
        <w:rFonts w:ascii="Arial" w:hAnsi="Arial" w:cs="Arial"/>
        <w:b/>
        <w:color w:val="FF0000"/>
        <w:sz w:val="20"/>
      </w:rPr>
    </w:pPr>
    <w:bookmarkStart w:id="7" w:name="aliashConfidential1FooterPrimary"/>
    <w:bookmarkStart w:id="8" w:name="aliashHighlyConfidential1FooterPrimary"/>
  </w:p>
  <w:bookmarkEnd w:id="7"/>
  <w:p w:rsidR="0038415E" w:rsidRDefault="0038415E" w:rsidP="00DC65E2">
    <w:pPr>
      <w:pStyle w:val="Footer"/>
      <w:jc w:val="center"/>
      <w:rPr>
        <w:rFonts w:ascii="Arial" w:hAnsi="Arial" w:cs="Arial"/>
        <w:b/>
        <w:color w:val="FF0000"/>
        <w:sz w:val="20"/>
      </w:rPr>
    </w:pPr>
  </w:p>
  <w:bookmarkEnd w:i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E2" w:rsidRDefault="00DC65E2">
    <w:pPr>
      <w:pStyle w:val="Footer"/>
      <w:jc w:val="center"/>
      <w:rPr>
        <w:rFonts w:ascii="Arial" w:hAnsi="Arial" w:cs="Arial"/>
        <w:b/>
        <w:color w:val="FF0000"/>
        <w:sz w:val="20"/>
      </w:rPr>
    </w:pPr>
    <w:bookmarkStart w:id="11" w:name="aliashHighlyConfidential1FooterFirstPage"/>
    <w:r>
      <w:rPr>
        <w:rFonts w:ascii="Arial" w:hAnsi="Arial" w:cs="Arial"/>
        <w:b/>
        <w:color w:val="FF0000"/>
        <w:sz w:val="20"/>
      </w:rPr>
      <w:t>Highly Confidential</w:t>
    </w:r>
  </w:p>
  <w:p w:rsidR="00081B0B" w:rsidRDefault="00081B0B">
    <w:pPr>
      <w:pStyle w:val="Footer"/>
      <w:jc w:val="center"/>
      <w:rPr>
        <w:rFonts w:ascii="Arial" w:hAnsi="Arial" w:cs="Arial"/>
        <w:b/>
        <w:color w:val="FF0000"/>
        <w:sz w:val="20"/>
      </w:rPr>
    </w:pPr>
  </w:p>
  <w:p w:rsidR="00081B0B" w:rsidRDefault="00081B0B" w:rsidP="0024215B">
    <w:pPr>
      <w:pStyle w:val="Footer"/>
      <w:jc w:val="center"/>
      <w:rPr>
        <w:rFonts w:ascii="Arial" w:hAnsi="Arial" w:cs="Arial"/>
        <w:b/>
        <w:color w:val="FF0000"/>
        <w:sz w:val="20"/>
      </w:rPr>
    </w:pPr>
    <w:bookmarkStart w:id="12" w:name="aliashConfidential1FooterFirstPage"/>
    <w:bookmarkEnd w:id="11"/>
  </w:p>
  <w:bookmarkEnd w:id="12"/>
  <w:p w:rsidR="001A6233" w:rsidRDefault="001A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DF" w:rsidRDefault="003C0ADF" w:rsidP="00081B0B">
      <w:pPr>
        <w:spacing w:after="0" w:line="240" w:lineRule="auto"/>
      </w:pPr>
      <w:r>
        <w:separator/>
      </w:r>
    </w:p>
  </w:footnote>
  <w:footnote w:type="continuationSeparator" w:id="0">
    <w:p w:rsidR="003C0ADF" w:rsidRDefault="003C0ADF" w:rsidP="0008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E2" w:rsidRDefault="00DC65E2">
    <w:pPr>
      <w:pStyle w:val="Header"/>
      <w:jc w:val="center"/>
      <w:rPr>
        <w:rFonts w:ascii="Arial" w:hAnsi="Arial" w:cs="Arial"/>
        <w:b/>
        <w:color w:val="FF0000"/>
        <w:sz w:val="20"/>
      </w:rPr>
    </w:pPr>
    <w:bookmarkStart w:id="1" w:name="aliashHighlyConfidential1HeaderEvenPages"/>
    <w:r>
      <w:rPr>
        <w:rFonts w:ascii="Arial" w:hAnsi="Arial" w:cs="Arial"/>
        <w:b/>
        <w:color w:val="FF0000"/>
        <w:sz w:val="20"/>
      </w:rPr>
      <w:t>Highly Confidential</w:t>
    </w:r>
  </w:p>
  <w:p w:rsidR="00081B0B" w:rsidRDefault="00081B0B">
    <w:pPr>
      <w:pStyle w:val="Header"/>
      <w:jc w:val="center"/>
      <w:rPr>
        <w:rFonts w:ascii="Arial" w:hAnsi="Arial" w:cs="Arial"/>
        <w:b/>
        <w:color w:val="FF0000"/>
        <w:sz w:val="20"/>
      </w:rPr>
    </w:pPr>
  </w:p>
  <w:p w:rsidR="00081B0B" w:rsidRDefault="00081B0B" w:rsidP="0024215B">
    <w:pPr>
      <w:pStyle w:val="Header"/>
      <w:jc w:val="center"/>
      <w:rPr>
        <w:rFonts w:ascii="Arial" w:hAnsi="Arial" w:cs="Arial"/>
        <w:b/>
        <w:color w:val="FF0000"/>
        <w:sz w:val="20"/>
      </w:rPr>
    </w:pPr>
    <w:bookmarkStart w:id="2" w:name="aliashConfidential1HeaderEvenPages"/>
    <w:bookmarkEnd w:id="1"/>
  </w:p>
  <w:bookmarkEnd w:id="2"/>
  <w:p w:rsidR="001A6233" w:rsidRDefault="001A6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15E" w:rsidRDefault="0024215B" w:rsidP="0024215B">
    <w:pPr>
      <w:pStyle w:val="Header"/>
      <w:jc w:val="right"/>
      <w:rPr>
        <w:rFonts w:ascii="Arial" w:hAnsi="Arial" w:cs="Arial"/>
        <w:b/>
        <w:color w:val="FF0000"/>
        <w:sz w:val="20"/>
      </w:rPr>
    </w:pPr>
    <w:bookmarkStart w:id="3" w:name="aliashConfidential1HeaderPrimary"/>
    <w:bookmarkStart w:id="4" w:name="aliashHighlyConfidential1HeaderPrimary"/>
    <w:r>
      <w:rPr>
        <w:noProof/>
        <w:lang w:eastAsia="en-GB"/>
      </w:rPr>
      <w:drawing>
        <wp:inline distT="0" distB="0" distL="0" distR="0" wp14:anchorId="0ACD1FEB" wp14:editId="7A4E3809">
          <wp:extent cx="1190625" cy="257175"/>
          <wp:effectExtent l="0" t="0" r="9525" b="9525"/>
          <wp:docPr id="1" name="Picture 1" descr="Diageo Logo"/>
          <wp:cNvGraphicFramePr/>
          <a:graphic xmlns:a="http://schemas.openxmlformats.org/drawingml/2006/main">
            <a:graphicData uri="http://schemas.openxmlformats.org/drawingml/2006/picture">
              <pic:pic xmlns:pic="http://schemas.openxmlformats.org/drawingml/2006/picture">
                <pic:nvPicPr>
                  <pic:cNvPr id="1" name="Picture 1" descr="Diageo Logo"/>
                  <pic:cNvPicPr/>
                </pic:nvPicPr>
                <pic:blipFill>
                  <a:blip r:embed="rId1" cstate="print"/>
                  <a:srcRect/>
                  <a:stretch>
                    <a:fillRect/>
                  </a:stretch>
                </pic:blipFill>
                <pic:spPr bwMode="auto">
                  <a:xfrm>
                    <a:off x="0" y="0"/>
                    <a:ext cx="1190625" cy="257175"/>
                  </a:xfrm>
                  <a:prstGeom prst="rect">
                    <a:avLst/>
                  </a:prstGeom>
                  <a:noFill/>
                  <a:ln w="9525">
                    <a:noFill/>
                    <a:miter lim="800000"/>
                    <a:headEnd/>
                    <a:tailEnd/>
                  </a:ln>
                </pic:spPr>
              </pic:pic>
            </a:graphicData>
          </a:graphic>
        </wp:inline>
      </w:drawing>
    </w:r>
  </w:p>
  <w:bookmarkEnd w:id="3"/>
  <w:p w:rsidR="0038415E" w:rsidRDefault="0038415E" w:rsidP="00DC65E2">
    <w:pPr>
      <w:pStyle w:val="Header"/>
      <w:jc w:val="center"/>
      <w:rPr>
        <w:rFonts w:ascii="Arial" w:hAnsi="Arial" w:cs="Arial"/>
        <w:b/>
        <w:color w:val="FF0000"/>
        <w:sz w:val="20"/>
      </w:rPr>
    </w:pPr>
  </w:p>
  <w:bookmarkEnd w:i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E2" w:rsidRDefault="00DC65E2">
    <w:pPr>
      <w:pStyle w:val="Header"/>
      <w:jc w:val="center"/>
      <w:rPr>
        <w:rFonts w:ascii="Arial" w:hAnsi="Arial" w:cs="Arial"/>
        <w:b/>
        <w:color w:val="FF0000"/>
        <w:sz w:val="20"/>
      </w:rPr>
    </w:pPr>
    <w:bookmarkStart w:id="9" w:name="aliashHighlyConfidential1HeaderFirstPage"/>
    <w:r>
      <w:rPr>
        <w:rFonts w:ascii="Arial" w:hAnsi="Arial" w:cs="Arial"/>
        <w:b/>
        <w:color w:val="FF0000"/>
        <w:sz w:val="20"/>
      </w:rPr>
      <w:t>Highly Confidential</w:t>
    </w:r>
  </w:p>
  <w:p w:rsidR="00081B0B" w:rsidRDefault="00081B0B">
    <w:pPr>
      <w:pStyle w:val="Header"/>
      <w:jc w:val="center"/>
      <w:rPr>
        <w:rFonts w:ascii="Arial" w:hAnsi="Arial" w:cs="Arial"/>
        <w:b/>
        <w:color w:val="FF0000"/>
        <w:sz w:val="20"/>
      </w:rPr>
    </w:pPr>
  </w:p>
  <w:p w:rsidR="00081B0B" w:rsidRDefault="00081B0B" w:rsidP="0024215B">
    <w:pPr>
      <w:pStyle w:val="Header"/>
      <w:jc w:val="center"/>
      <w:rPr>
        <w:rFonts w:ascii="Arial" w:hAnsi="Arial" w:cs="Arial"/>
        <w:b/>
        <w:color w:val="FF0000"/>
        <w:sz w:val="20"/>
      </w:rPr>
    </w:pPr>
    <w:bookmarkStart w:id="10" w:name="aliashConfidential1HeaderFirstPage"/>
    <w:bookmarkEnd w:id="9"/>
  </w:p>
  <w:bookmarkEnd w:id="10"/>
  <w:p w:rsidR="001A6233" w:rsidRDefault="001A6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55DAC"/>
    <w:multiLevelType w:val="hybridMultilevel"/>
    <w:tmpl w:val="6B3EBDFA"/>
    <w:lvl w:ilvl="0" w:tplc="34A4CC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zE1NzU1NDKxNLZQ0lEKTi0uzszPAykwqQUAkbFR/SwAAAA="/>
    <w:docVar w:name="TMS_Template_ID" w:val="0"/>
  </w:docVars>
  <w:rsids>
    <w:rsidRoot w:val="00081B0B"/>
    <w:rsid w:val="0006338C"/>
    <w:rsid w:val="00070180"/>
    <w:rsid w:val="00077579"/>
    <w:rsid w:val="00081B0B"/>
    <w:rsid w:val="000B3C1D"/>
    <w:rsid w:val="000D4B71"/>
    <w:rsid w:val="00124445"/>
    <w:rsid w:val="0016639D"/>
    <w:rsid w:val="001A6233"/>
    <w:rsid w:val="001E50E7"/>
    <w:rsid w:val="0020582E"/>
    <w:rsid w:val="00223F7D"/>
    <w:rsid w:val="0024215B"/>
    <w:rsid w:val="0024253E"/>
    <w:rsid w:val="002909BA"/>
    <w:rsid w:val="002B6967"/>
    <w:rsid w:val="002F1ECD"/>
    <w:rsid w:val="00340F59"/>
    <w:rsid w:val="0035141F"/>
    <w:rsid w:val="00363BAF"/>
    <w:rsid w:val="0038415E"/>
    <w:rsid w:val="003A491C"/>
    <w:rsid w:val="003A7465"/>
    <w:rsid w:val="003C0ADF"/>
    <w:rsid w:val="003C19DD"/>
    <w:rsid w:val="003D2C3F"/>
    <w:rsid w:val="004712B4"/>
    <w:rsid w:val="00473136"/>
    <w:rsid w:val="00496690"/>
    <w:rsid w:val="004A318B"/>
    <w:rsid w:val="004C47D0"/>
    <w:rsid w:val="004F1C39"/>
    <w:rsid w:val="005723C1"/>
    <w:rsid w:val="0057787A"/>
    <w:rsid w:val="005D6DEB"/>
    <w:rsid w:val="00637D9E"/>
    <w:rsid w:val="006557A4"/>
    <w:rsid w:val="00680A08"/>
    <w:rsid w:val="007141FE"/>
    <w:rsid w:val="007156C0"/>
    <w:rsid w:val="007823BD"/>
    <w:rsid w:val="00797A3B"/>
    <w:rsid w:val="007A14B7"/>
    <w:rsid w:val="007C37F1"/>
    <w:rsid w:val="007C52DC"/>
    <w:rsid w:val="007F7E6F"/>
    <w:rsid w:val="00824F0C"/>
    <w:rsid w:val="008A08D5"/>
    <w:rsid w:val="008A68BF"/>
    <w:rsid w:val="008A74BF"/>
    <w:rsid w:val="008E0512"/>
    <w:rsid w:val="00991380"/>
    <w:rsid w:val="00A20E93"/>
    <w:rsid w:val="00A50A72"/>
    <w:rsid w:val="00A77B52"/>
    <w:rsid w:val="00AD7DB0"/>
    <w:rsid w:val="00AF5044"/>
    <w:rsid w:val="00B10FF3"/>
    <w:rsid w:val="00B53135"/>
    <w:rsid w:val="00B63C72"/>
    <w:rsid w:val="00B67A3A"/>
    <w:rsid w:val="00BA6CDF"/>
    <w:rsid w:val="00BD4F1A"/>
    <w:rsid w:val="00C820C0"/>
    <w:rsid w:val="00CA481D"/>
    <w:rsid w:val="00CC06A7"/>
    <w:rsid w:val="00CD2499"/>
    <w:rsid w:val="00D545A4"/>
    <w:rsid w:val="00DA1765"/>
    <w:rsid w:val="00DC65E2"/>
    <w:rsid w:val="00E0547D"/>
    <w:rsid w:val="00E079CB"/>
    <w:rsid w:val="00E12D83"/>
    <w:rsid w:val="00E51D43"/>
    <w:rsid w:val="00E61E43"/>
    <w:rsid w:val="00E74E79"/>
    <w:rsid w:val="00E94B7E"/>
    <w:rsid w:val="00EA3494"/>
    <w:rsid w:val="00F03BDF"/>
    <w:rsid w:val="00F043D7"/>
    <w:rsid w:val="00F53AA8"/>
    <w:rsid w:val="00F60BF9"/>
    <w:rsid w:val="00F67895"/>
    <w:rsid w:val="00F8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055C77-CD62-4F8F-B8DA-3C29B1E9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B0B"/>
  </w:style>
  <w:style w:type="paragraph" w:styleId="Footer">
    <w:name w:val="footer"/>
    <w:basedOn w:val="Normal"/>
    <w:link w:val="FooterChar"/>
    <w:uiPriority w:val="99"/>
    <w:unhideWhenUsed/>
    <w:rsid w:val="0008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B0B"/>
  </w:style>
  <w:style w:type="paragraph" w:styleId="BalloonText">
    <w:name w:val="Balloon Text"/>
    <w:basedOn w:val="Normal"/>
    <w:link w:val="BalloonTextChar"/>
    <w:uiPriority w:val="99"/>
    <w:semiHidden/>
    <w:unhideWhenUsed/>
    <w:rsid w:val="002B6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67"/>
    <w:rPr>
      <w:rFonts w:ascii="Segoe UI" w:hAnsi="Segoe UI" w:cs="Segoe UI"/>
      <w:sz w:val="18"/>
      <w:szCs w:val="18"/>
    </w:rPr>
  </w:style>
  <w:style w:type="paragraph" w:styleId="ListParagraph">
    <w:name w:val="List Paragraph"/>
    <w:basedOn w:val="Normal"/>
    <w:uiPriority w:val="34"/>
    <w:qFormat/>
    <w:rsid w:val="003A7465"/>
    <w:pPr>
      <w:ind w:left="720"/>
      <w:contextualSpacing/>
    </w:pPr>
  </w:style>
  <w:style w:type="character" w:styleId="Hyperlink">
    <w:name w:val="Hyperlink"/>
    <w:basedOn w:val="DefaultParagraphFont"/>
    <w:uiPriority w:val="99"/>
    <w:unhideWhenUsed/>
    <w:rsid w:val="00070180"/>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DC65E2"/>
    <w:rPr>
      <w:sz w:val="16"/>
      <w:szCs w:val="16"/>
    </w:rPr>
  </w:style>
  <w:style w:type="paragraph" w:styleId="CommentText">
    <w:name w:val="annotation text"/>
    <w:basedOn w:val="Normal"/>
    <w:link w:val="CommentTextChar"/>
    <w:uiPriority w:val="99"/>
    <w:semiHidden/>
    <w:unhideWhenUsed/>
    <w:rsid w:val="00DC65E2"/>
    <w:pPr>
      <w:spacing w:line="240" w:lineRule="auto"/>
    </w:pPr>
    <w:rPr>
      <w:sz w:val="20"/>
      <w:szCs w:val="20"/>
    </w:rPr>
  </w:style>
  <w:style w:type="character" w:customStyle="1" w:styleId="CommentTextChar">
    <w:name w:val="Comment Text Char"/>
    <w:basedOn w:val="DefaultParagraphFont"/>
    <w:link w:val="CommentText"/>
    <w:uiPriority w:val="99"/>
    <w:semiHidden/>
    <w:rsid w:val="00DC65E2"/>
    <w:rPr>
      <w:sz w:val="20"/>
      <w:szCs w:val="20"/>
    </w:rPr>
  </w:style>
  <w:style w:type="paragraph" w:styleId="CommentSubject">
    <w:name w:val="annotation subject"/>
    <w:basedOn w:val="CommentText"/>
    <w:next w:val="CommentText"/>
    <w:link w:val="CommentSubjectChar"/>
    <w:uiPriority w:val="99"/>
    <w:semiHidden/>
    <w:unhideWhenUsed/>
    <w:rsid w:val="00DC65E2"/>
    <w:rPr>
      <w:b/>
      <w:bCs/>
    </w:rPr>
  </w:style>
  <w:style w:type="character" w:customStyle="1" w:styleId="CommentSubjectChar">
    <w:name w:val="Comment Subject Char"/>
    <w:basedOn w:val="CommentTextChar"/>
    <w:link w:val="CommentSubject"/>
    <w:uiPriority w:val="99"/>
    <w:semiHidden/>
    <w:rsid w:val="00DC65E2"/>
    <w:rPr>
      <w:b/>
      <w:bCs/>
      <w:sz w:val="20"/>
      <w:szCs w:val="20"/>
    </w:rPr>
  </w:style>
  <w:style w:type="paragraph" w:styleId="NormalWeb">
    <w:name w:val="Normal (Web)"/>
    <w:basedOn w:val="Normal"/>
    <w:uiPriority w:val="99"/>
    <w:semiHidden/>
    <w:unhideWhenUsed/>
    <w:rsid w:val="00F87A95"/>
    <w:pPr>
      <w:spacing w:after="0" w:line="240" w:lineRule="auto"/>
    </w:pPr>
    <w:rPr>
      <w:rFonts w:ascii="Times New Roman" w:eastAsia="Times New Roman" w:hAnsi="Times New Roman" w:cs="Times New Roman"/>
      <w:color w:val="333333"/>
      <w:sz w:val="29"/>
      <w:szCs w:val="29"/>
      <w:lang w:eastAsia="en-GB"/>
    </w:rPr>
  </w:style>
  <w:style w:type="paragraph" w:customStyle="1" w:styleId="MarginText">
    <w:name w:val="Margin Text"/>
    <w:basedOn w:val="BodyText"/>
    <w:uiPriority w:val="99"/>
    <w:rsid w:val="00F87A95"/>
    <w:pPr>
      <w:overflowPunct w:val="0"/>
      <w:autoSpaceDE w:val="0"/>
      <w:autoSpaceDN w:val="0"/>
      <w:adjustRightInd w:val="0"/>
      <w:spacing w:after="240" w:line="360" w:lineRule="auto"/>
      <w:jc w:val="both"/>
    </w:pPr>
    <w:rPr>
      <w:rFonts w:ascii="Times New Roman" w:eastAsia="Times New Roman" w:hAnsi="Times New Roman" w:cs="Times New Roman"/>
      <w:szCs w:val="20"/>
      <w:lang w:val="x-none"/>
    </w:rPr>
  </w:style>
  <w:style w:type="paragraph" w:customStyle="1" w:styleId="Normal360">
    <w:name w:val="Normal_36_0"/>
    <w:uiPriority w:val="99"/>
    <w:qFormat/>
    <w:rsid w:val="00F87A95"/>
    <w:pPr>
      <w:spacing w:after="200" w:line="276" w:lineRule="auto"/>
    </w:pPr>
    <w:rPr>
      <w:rFonts w:ascii="Times New Roman" w:eastAsia="Times New Roman" w:hAnsi="Times New Roman" w:cs="Times New Roman"/>
      <w:lang w:val="hu-HU"/>
    </w:rPr>
  </w:style>
  <w:style w:type="paragraph" w:customStyle="1" w:styleId="bc">
    <w:name w:val="bc"/>
    <w:basedOn w:val="Normal"/>
    <w:uiPriority w:val="99"/>
    <w:rsid w:val="00F87A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q">
    <w:name w:val="cq"/>
    <w:basedOn w:val="DefaultParagraphFont"/>
    <w:rsid w:val="00F87A95"/>
  </w:style>
  <w:style w:type="character" w:customStyle="1" w:styleId="ar">
    <w:name w:val="ar"/>
    <w:basedOn w:val="DefaultParagraphFont"/>
    <w:rsid w:val="00F87A95"/>
  </w:style>
  <w:style w:type="character" w:styleId="Strong">
    <w:name w:val="Strong"/>
    <w:basedOn w:val="DefaultParagraphFont"/>
    <w:uiPriority w:val="22"/>
    <w:qFormat/>
    <w:rsid w:val="00F87A95"/>
    <w:rPr>
      <w:b/>
      <w:bCs/>
    </w:rPr>
  </w:style>
  <w:style w:type="paragraph" w:styleId="BodyText">
    <w:name w:val="Body Text"/>
    <w:basedOn w:val="Normal"/>
    <w:link w:val="BodyTextChar"/>
    <w:uiPriority w:val="99"/>
    <w:semiHidden/>
    <w:unhideWhenUsed/>
    <w:rsid w:val="00F87A95"/>
    <w:pPr>
      <w:spacing w:after="120"/>
    </w:pPr>
  </w:style>
  <w:style w:type="character" w:customStyle="1" w:styleId="BodyTextChar">
    <w:name w:val="Body Text Char"/>
    <w:basedOn w:val="DefaultParagraphFont"/>
    <w:link w:val="BodyText"/>
    <w:uiPriority w:val="99"/>
    <w:semiHidden/>
    <w:rsid w:val="00F8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6656">
      <w:bodyDiv w:val="1"/>
      <w:marLeft w:val="0"/>
      <w:marRight w:val="0"/>
      <w:marTop w:val="0"/>
      <w:marBottom w:val="0"/>
      <w:divBdr>
        <w:top w:val="none" w:sz="0" w:space="0" w:color="auto"/>
        <w:left w:val="none" w:sz="0" w:space="0" w:color="auto"/>
        <w:bottom w:val="none" w:sz="0" w:space="0" w:color="auto"/>
        <w:right w:val="none" w:sz="0" w:space="0" w:color="auto"/>
      </w:divBdr>
    </w:div>
    <w:div w:id="496189507">
      <w:bodyDiv w:val="1"/>
      <w:marLeft w:val="0"/>
      <w:marRight w:val="0"/>
      <w:marTop w:val="0"/>
      <w:marBottom w:val="0"/>
      <w:divBdr>
        <w:top w:val="none" w:sz="0" w:space="0" w:color="auto"/>
        <w:left w:val="none" w:sz="0" w:space="0" w:color="auto"/>
        <w:bottom w:val="none" w:sz="0" w:space="0" w:color="auto"/>
        <w:right w:val="none" w:sz="0" w:space="0" w:color="auto"/>
      </w:divBdr>
    </w:div>
    <w:div w:id="14433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diageo.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iQ.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age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vestor.relations@diageo.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C9746-336A-4F63-9D5B-DFE172C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Major, Kara</dc:creator>
  <cp:lastModifiedBy>Agius, Bianca</cp:lastModifiedBy>
  <cp:revision>2</cp:revision>
  <cp:lastPrinted>2017-09-07T15:28:00Z</cp:lastPrinted>
  <dcterms:created xsi:type="dcterms:W3CDTF">2018-04-04T08:17:00Z</dcterms:created>
  <dcterms:modified xsi:type="dcterms:W3CDTF">2018-04-04T08:17:00Z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CMNumber">
    <vt:lpwstr>216200/14819</vt:lpwstr>
  </property>
  <property fmtid="{D5CDD505-2E9C-101B-9397-08002B2CF9AE}" pid="3" name="udp_DeptCode">
    <vt:lpwstr>CE</vt:lpwstr>
  </property>
  <property fmtid="{D5CDD505-2E9C-101B-9397-08002B2CF9AE}" pid="4" name="udp_DocID">
    <vt:lpwstr>546806358</vt:lpwstr>
  </property>
  <property fmtid="{D5CDD505-2E9C-101B-9397-08002B2CF9AE}" pid="5" name="udp_Author">
    <vt:lpwstr>LOXR</vt:lpwstr>
  </property>
  <property fmtid="{D5CDD505-2E9C-101B-9397-08002B2CF9AE}" pid="6" name="udp_Date">
    <vt:lpwstr>04 September 2017</vt:lpwstr>
  </property>
  <property fmtid="{D5CDD505-2E9C-101B-9397-08002B2CF9AE}" pid="7" name="TitusGUID">
    <vt:lpwstr>23b4a032-618b-4ef5-a32e-56d5940ca4e2</vt:lpwstr>
  </property>
  <property fmtid="{D5CDD505-2E9C-101B-9397-08002B2CF9AE}" pid="8" name="Information Classification">
    <vt:lpwstr>General</vt:lpwstr>
  </property>
</Properties>
</file>